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133350</wp:posOffset>
            </wp:positionV>
            <wp:extent cx="2343150" cy="108585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center"/>
        <w:rPr>
          <w:rFonts w:ascii="Arial" w:cs="Arial" w:eastAsia="Arial" w:hAnsi="Arial"/>
          <w:b w:val="1"/>
          <w:color w:val="0b2349"/>
        </w:rPr>
      </w:pPr>
      <w:r w:rsidDel="00000000" w:rsidR="00000000" w:rsidRPr="00000000">
        <w:rPr>
          <w:rFonts w:ascii="Arial" w:cs="Arial" w:eastAsia="Arial" w:hAnsi="Arial"/>
          <w:b w:val="1"/>
          <w:color w:val="0b2349"/>
          <w:rtl w:val="0"/>
        </w:rPr>
        <w:t xml:space="preserve">Документация</w:t>
      </w:r>
      <w:r w:rsidDel="00000000" w:rsidR="00000000" w:rsidRPr="00000000">
        <w:rPr>
          <w:rFonts w:ascii="Arial" w:cs="Arial" w:eastAsia="Arial" w:hAnsi="Arial"/>
          <w:b w:val="1"/>
          <w:color w:val="0b2349"/>
          <w:rtl w:val="0"/>
        </w:rPr>
        <w:t xml:space="preserve">, содержащая описание процессов, обеспечивающих поддержание жизненного цикла программного обеспечения, в том числе устранение неисправностей и совершенствование, а также информацию о персонале, необходимом для обеспечения такой поддержки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72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b2349"/>
          <w:sz w:val="32"/>
          <w:szCs w:val="32"/>
          <w:rtl w:val="0"/>
        </w:rPr>
        <w:t xml:space="preserve">Содержание: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color w:val="0b2349"/>
          <w:sz w:val="20"/>
          <w:szCs w:val="20"/>
        </w:rPr>
      </w:pPr>
      <w:hyperlink w:anchor="_heading=h.5omlixa76759">
        <w:r w:rsidDel="00000000" w:rsidR="00000000" w:rsidRPr="00000000">
          <w:rPr>
            <w:b w:val="1"/>
            <w:color w:val="0b2349"/>
            <w:sz w:val="20"/>
            <w:szCs w:val="20"/>
            <w:rtl w:val="0"/>
          </w:rPr>
          <w:t xml:space="preserve">Поддержание жизненного цикла программного обеспечения…………………………………………………1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color w:val="0b2349"/>
          <w:sz w:val="20"/>
          <w:szCs w:val="20"/>
        </w:rPr>
      </w:pPr>
      <w:hyperlink w:anchor="_heading=h.qp0hh0lidfdh">
        <w:r w:rsidDel="00000000" w:rsidR="00000000" w:rsidRPr="00000000">
          <w:rPr>
            <w:b w:val="1"/>
            <w:color w:val="0b2349"/>
            <w:sz w:val="20"/>
            <w:szCs w:val="20"/>
            <w:rtl w:val="0"/>
          </w:rPr>
          <w:t xml:space="preserve">Описание технической инфраструктуры…..………………………………………………………………….....1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color w:val="0b2349"/>
          <w:sz w:val="20"/>
          <w:szCs w:val="20"/>
        </w:rPr>
      </w:pPr>
      <w:hyperlink w:anchor="_heading=h.fmboqpirxpkl">
        <w:r w:rsidDel="00000000" w:rsidR="00000000" w:rsidRPr="00000000">
          <w:rPr>
            <w:b w:val="1"/>
            <w:color w:val="0b2349"/>
            <w:sz w:val="20"/>
            <w:szCs w:val="20"/>
            <w:rtl w:val="0"/>
          </w:rPr>
          <w:t xml:space="preserve">Устранение неисправностей, выявленных в ходе эксплуатации программного обеспечения……………</w:t>
        </w:r>
      </w:hyperlink>
      <w:r w:rsidDel="00000000" w:rsidR="00000000" w:rsidRPr="00000000">
        <w:rPr>
          <w:b w:val="1"/>
          <w:color w:val="0b2349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color w:val="0b2349"/>
          <w:sz w:val="20"/>
          <w:szCs w:val="20"/>
        </w:rPr>
      </w:pPr>
      <w:hyperlink w:anchor="_heading=h.lz8q242cqfm">
        <w:r w:rsidDel="00000000" w:rsidR="00000000" w:rsidRPr="00000000">
          <w:rPr>
            <w:b w:val="1"/>
            <w:color w:val="0b2349"/>
            <w:sz w:val="20"/>
            <w:szCs w:val="20"/>
            <w:rtl w:val="0"/>
          </w:rPr>
          <w:t xml:space="preserve">Техническая поддержка…………………………………………………………………………………………….</w:t>
        </w:r>
      </w:hyperlink>
      <w:r w:rsidDel="00000000" w:rsidR="00000000" w:rsidRPr="00000000">
        <w:rPr>
          <w:b w:val="1"/>
          <w:color w:val="0b2349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b w:val="1"/>
          <w:color w:val="0b2349"/>
          <w:sz w:val="20"/>
          <w:szCs w:val="20"/>
        </w:rPr>
      </w:pPr>
      <w:hyperlink w:anchor="_heading=h.x330q83au9ra">
        <w:r w:rsidDel="00000000" w:rsidR="00000000" w:rsidRPr="00000000">
          <w:rPr>
            <w:b w:val="1"/>
            <w:color w:val="0b2349"/>
            <w:sz w:val="20"/>
            <w:szCs w:val="20"/>
            <w:rtl w:val="0"/>
          </w:rPr>
          <w:t xml:space="preserve">Процесс разработки ПО…………………………………………………………………………………………….</w:t>
        </w:r>
      </w:hyperlink>
      <w:r w:rsidDel="00000000" w:rsidR="00000000" w:rsidRPr="00000000">
        <w:rPr>
          <w:b w:val="1"/>
          <w:color w:val="0b2349"/>
          <w:sz w:val="20"/>
          <w:szCs w:val="20"/>
          <w:rtl w:val="0"/>
        </w:rPr>
        <w:t xml:space="preserve">6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b w:val="1"/>
          <w:color w:val="0b2349"/>
          <w:sz w:val="20"/>
          <w:szCs w:val="20"/>
        </w:rPr>
      </w:pPr>
      <w:hyperlink w:anchor="_heading=h.voxplxkdg2">
        <w:r w:rsidDel="00000000" w:rsidR="00000000" w:rsidRPr="00000000">
          <w:rPr>
            <w:b w:val="1"/>
            <w:color w:val="0b2349"/>
            <w:sz w:val="20"/>
            <w:szCs w:val="20"/>
            <w:rtl w:val="0"/>
          </w:rPr>
          <w:t xml:space="preserve">Дорожная карта развития………………………………………………………………………………………….</w:t>
        </w:r>
      </w:hyperlink>
      <w:r w:rsidDel="00000000" w:rsidR="00000000" w:rsidRPr="00000000">
        <w:rPr>
          <w:b w:val="1"/>
          <w:color w:val="0b2349"/>
          <w:sz w:val="20"/>
          <w:szCs w:val="20"/>
          <w:rtl w:val="0"/>
        </w:rPr>
        <w:t xml:space="preserve">8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b w:val="1"/>
          <w:color w:val="0b2349"/>
          <w:sz w:val="20"/>
          <w:szCs w:val="20"/>
        </w:rPr>
      </w:pPr>
      <w:hyperlink w:anchor="_heading=h.sisvbx4grpb">
        <w:r w:rsidDel="00000000" w:rsidR="00000000" w:rsidRPr="00000000">
          <w:rPr>
            <w:b w:val="1"/>
            <w:color w:val="0b2349"/>
            <w:sz w:val="20"/>
            <w:szCs w:val="20"/>
            <w:rtl w:val="0"/>
          </w:rPr>
          <w:t xml:space="preserve">Совершенствование программного обеспечения ООО «Рокет Ворк»………………………………………..</w:t>
        </w:r>
      </w:hyperlink>
      <w:r w:rsidDel="00000000" w:rsidR="00000000" w:rsidRPr="00000000">
        <w:rPr>
          <w:b w:val="1"/>
          <w:color w:val="0b2349"/>
          <w:sz w:val="20"/>
          <w:szCs w:val="20"/>
          <w:rtl w:val="0"/>
        </w:rPr>
        <w:t xml:space="preserve">9</w:t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line="360" w:lineRule="auto"/>
        <w:ind w:left="0" w:firstLine="0"/>
        <w:rPr>
          <w:b w:val="1"/>
          <w:color w:val="0b2349"/>
          <w:sz w:val="28"/>
          <w:szCs w:val="28"/>
        </w:rPr>
      </w:pPr>
      <w:bookmarkStart w:colFirst="0" w:colLast="0" w:name="_heading=h.5omlixa76759" w:id="0"/>
      <w:bookmarkEnd w:id="0"/>
      <w:r w:rsidDel="00000000" w:rsidR="00000000" w:rsidRPr="00000000">
        <w:rPr>
          <w:b w:val="1"/>
          <w:color w:val="0b2349"/>
          <w:sz w:val="28"/>
          <w:szCs w:val="28"/>
          <w:rtl w:val="0"/>
        </w:rPr>
        <w:t xml:space="preserve">Аннотация: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Сервис Рокет Ворк предназначен для обеспечения электронного документооборота и расчетов Заказчика с Исполнителями за реально выполненные ими Задания (сделки). Расчеты с Исполнителями на платформе возможны только в случае, если обеими сторонами подписаны документы, являющиеся основанием для проведения платежа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3"/>
        </w:numPr>
        <w:spacing w:line="360" w:lineRule="auto"/>
        <w:ind w:left="0" w:firstLine="0"/>
        <w:rPr>
          <w:b w:val="1"/>
        </w:rPr>
      </w:pPr>
      <w:bookmarkStart w:colFirst="0" w:colLast="0" w:name="_heading=h.tstpx5yayfds" w:id="1"/>
      <w:bookmarkEnd w:id="1"/>
      <w:r w:rsidDel="00000000" w:rsidR="00000000" w:rsidRPr="00000000">
        <w:rPr>
          <w:b w:val="1"/>
          <w:color w:val="0b2349"/>
          <w:sz w:val="28"/>
          <w:szCs w:val="28"/>
          <w:rtl w:val="0"/>
        </w:rPr>
        <w:t xml:space="preserve">Поддержание жизненного цикла программного обеспечения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Поддержание жизненного цикла программного обеспечения ООО «Рокет Ворк» обеспечивается за счет его сопровождения и проведение обновлений в соответствии с собственным планом разработки ПО и по заявкам пользователей. В рамках технической поддержки ПО оказываются следующие услуги: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помощь с регистрацией на электронном сервисе «Рокет Ворк»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помощь в поиске и устранении проблем в случае некорректной работы ПО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</w:t>
      </w:r>
      <w:r w:rsidDel="00000000" w:rsidR="00000000" w:rsidRPr="00000000">
        <w:rPr>
          <w:rtl w:val="0"/>
        </w:rPr>
        <w:t xml:space="preserve">отчетной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документации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функционала новых модулей ПО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консультация по работе с ПО</w:t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3"/>
        </w:numPr>
        <w:shd w:fill="ffffff" w:val="clear"/>
        <w:spacing w:after="20" w:before="0" w:beforeAutospacing="0" w:line="360" w:lineRule="auto"/>
        <w:jc w:val="both"/>
        <w:rPr/>
      </w:pPr>
      <w:bookmarkStart w:colFirst="0" w:colLast="0" w:name="_heading=h.qp0hh0lidfdh" w:id="2"/>
      <w:bookmarkEnd w:id="2"/>
      <w:r w:rsidDel="00000000" w:rsidR="00000000" w:rsidRPr="00000000">
        <w:rPr>
          <w:b w:val="1"/>
          <w:color w:val="0b2349"/>
          <w:sz w:val="28"/>
          <w:szCs w:val="28"/>
          <w:rtl w:val="0"/>
        </w:rPr>
        <w:t xml:space="preserve">Описание технической инфраструктуры: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 Языки программирования - Backend - Ruby on rails, Web – React (JavaScript)</w:t>
      </w:r>
    </w:p>
    <w:p w:rsidR="00000000" w:rsidDel="00000000" w:rsidP="00000000" w:rsidRDefault="00000000" w:rsidRPr="00000000" w14:paraId="00000028">
      <w:pPr>
        <w:shd w:fill="ffffff" w:val="clear"/>
        <w:spacing w:after="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2. Используемая платформа разработки - Ruby On Rails</w:t>
      </w:r>
    </w:p>
    <w:p w:rsidR="00000000" w:rsidDel="00000000" w:rsidP="00000000" w:rsidRDefault="00000000" w:rsidRPr="00000000" w14:paraId="00000029">
      <w:pPr>
        <w:shd w:fill="ffffff" w:val="clear"/>
        <w:spacing w:after="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3. Используемые сторонние компоненты ПО - gem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'rails', '~&gt; 6.0.0'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gem 'aasm'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'active_interaction', '~&gt; 3.7'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'axlsx'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'bcrypt', '~&gt; 3.1.7'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'blueprinter'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'bootsnap', '&gt;= 1.4.2', require: false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'combine_pdf'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'data_migrate'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'devise'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'rqrcode', '~&gt; 2.0'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'searchlight'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'dry-initializer'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'dry-monads'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'dry-struct'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'elasticsearch-model', '~&gt; 7'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'elasticsearch-rails', '~&gt; 7'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'faraday'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'faraday_middleware'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'jsonb_accessor', '~&gt; 1'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'forseti_pdf', github: 'rrebellion/forseti_pdf'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'http'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'jira-ruby'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'jwt'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'kaminari'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'lograge'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'oj'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'ougai'</w:t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'petrovich'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'pg', '1.1.4'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'protobuf'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'pry-rails'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'puma', '~&gt; 3.11'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'rabl'</w:t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'require_all'</w:t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'rocketbank_payouts_sdk_ruby',</w:t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github: 'rrebellion/rocketbank_payouts_sdk_ruby'</w:t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'ru_propisju'</w:t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'russian'</w:t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'rswag-api'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'rswag-ui'</w:t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'sentry-raven'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'spreadsheet'</w:t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'redis-namespace', '~&gt; 1.8'</w:t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'sidekiq', '~&gt; 6.1.2'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'sneakers',</w:t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github: 'jondot/sneakers',</w:t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ref: '7a972d22a58de8a261a738d9a1e5fb51f9608ede'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'store_model'</w:t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'vahter_client', github: 'rrebellion/vahter_client'</w:t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'ruby-kafka'</w:t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'virtus'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'appsignal'</w:t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'aws-sdk-sqs', '~&gt; 1.36'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'shoryuken', '~&gt; 5.1'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'config', '~&gt; 2.2', '&gt;= 2.2.1'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 'aws-sdk-s3', '~&gt; 1.88', require: false</w:t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:development, :test do</w:t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'awesome_print'</w:t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'byebug', platforms: %i[mri mingw x64_mingw]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'dox', '1.2.0'</w:t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'rspec-rails'</w:t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'rswag-specs'</w:t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</w:t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:development, :test, :staging do</w:t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'ffaker'</w:t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'faker-russian'</w:t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'factory_bot_rails'</w:t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:development do</w:t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'listen', '&gt;= 3.0.5', '&lt; 3.2'</w:t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'missile', github: 'rrebellion/missile'</w:t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'rubocop', '~&gt; 1.3'</w:t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'rubocop-performance', '~&gt; 1.8', '&gt;= 1.8.1'</w:t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'rubocop-rails', '~&gt; 2.8', '&gt;= 2.8.1'</w:t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'spring'</w:t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'spring-watcher-listen', '~&gt; 2.0.0'</w:t>
      </w:r>
    </w:p>
    <w:p w:rsidR="00000000" w:rsidDel="00000000" w:rsidP="00000000" w:rsidRDefault="00000000" w:rsidRPr="00000000" w14:paraId="0000007E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'guard-rspec', '~&gt; 4.7', '&gt;= 4.7.3', require: false</w:t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</w:t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:test do</w:t>
      </w:r>
    </w:p>
    <w:p w:rsidR="00000000" w:rsidDel="00000000" w:rsidP="00000000" w:rsidRDefault="00000000" w:rsidRPr="00000000" w14:paraId="00000082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'rspec-sidekiq'</w:t>
      </w:r>
    </w:p>
    <w:p w:rsidR="00000000" w:rsidDel="00000000" w:rsidP="00000000" w:rsidRDefault="00000000" w:rsidRPr="00000000" w14:paraId="00000083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'mock_redis'</w:t>
      </w:r>
    </w:p>
    <w:p w:rsidR="00000000" w:rsidDel="00000000" w:rsidP="00000000" w:rsidRDefault="00000000" w:rsidRPr="00000000" w14:paraId="00000084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'simplecov', require: false</w:t>
      </w:r>
    </w:p>
    <w:p w:rsidR="00000000" w:rsidDel="00000000" w:rsidP="00000000" w:rsidRDefault="00000000" w:rsidRPr="00000000" w14:paraId="00000085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'timecop'</w:t>
      </w:r>
    </w:p>
    <w:p w:rsidR="00000000" w:rsidDel="00000000" w:rsidP="00000000" w:rsidRDefault="00000000" w:rsidRPr="00000000" w14:paraId="00000086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gem 'webmock'</w:t>
      </w:r>
    </w:p>
    <w:p w:rsidR="00000000" w:rsidDel="00000000" w:rsidP="00000000" w:rsidRDefault="00000000" w:rsidRPr="00000000" w14:paraId="00000087">
      <w:pPr>
        <w:shd w:fill="ffffff" w:val="clear"/>
        <w:spacing w:line="240" w:lineRule="auto"/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 gem 'query_count'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numPr>
          <w:ilvl w:val="0"/>
          <w:numId w:val="3"/>
        </w:numPr>
        <w:spacing w:line="360" w:lineRule="auto"/>
        <w:rPr/>
      </w:pPr>
      <w:bookmarkStart w:colFirst="0" w:colLast="0" w:name="_heading=h.fmboqpirxpkl" w:id="3"/>
      <w:bookmarkEnd w:id="3"/>
      <w:r w:rsidDel="00000000" w:rsidR="00000000" w:rsidRPr="00000000">
        <w:rPr>
          <w:b w:val="1"/>
          <w:color w:val="0b2349"/>
          <w:sz w:val="28"/>
          <w:szCs w:val="28"/>
          <w:rtl w:val="0"/>
        </w:rPr>
        <w:t xml:space="preserve">Устранение неисправностей, выявленных в ходе эксплуатации программного обеспечения.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Неисправности, выявленные в ходе эксплуатации программного обеспечения, могут быть исправлены следующими способами: 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after="0" w:afterAutospacing="0" w:before="240" w:line="360" w:lineRule="auto"/>
        <w:ind w:left="720" w:hanging="360"/>
      </w:pPr>
      <w:r w:rsidDel="00000000" w:rsidR="00000000" w:rsidRPr="00000000">
        <w:rPr>
          <w:rtl w:val="0"/>
        </w:rPr>
        <w:t xml:space="preserve">Массовое автоматическое обновление компонентов ПО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after="240" w:before="0" w:beforeAutospacing="0" w:line="360" w:lineRule="auto"/>
        <w:ind w:left="720" w:hanging="360"/>
      </w:pPr>
      <w:r w:rsidDel="00000000" w:rsidR="00000000" w:rsidRPr="00000000">
        <w:rPr>
          <w:rtl w:val="0"/>
        </w:rPr>
        <w:t xml:space="preserve">Единичная работа специалиста службы технической поддержки по запросу пользователя по каналу технической поддержки</w:t>
      </w:r>
    </w:p>
    <w:p w:rsidR="00000000" w:rsidDel="00000000" w:rsidP="00000000" w:rsidRDefault="00000000" w:rsidRPr="00000000" w14:paraId="0000008C">
      <w:pPr>
        <w:spacing w:after="240" w:before="240" w:line="360" w:lineRule="auto"/>
        <w:ind w:left="0" w:firstLine="0"/>
        <w:rPr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Регламент устранения неисправностей по запросу пользователя по каналу технической поддержки: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color w:val="0b2349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b2349"/>
          <w:sz w:val="28"/>
          <w:szCs w:val="28"/>
          <w:rtl w:val="0"/>
        </w:rPr>
        <w:t xml:space="preserve">Регламент устранения неисправностей по запросу пользователя по каналу технической поддержки: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00" w:before="100" w:line="360" w:lineRule="auto"/>
        <w:ind w:left="420" w:firstLine="0"/>
        <w:jc w:val="both"/>
        <w:rPr/>
      </w:pPr>
      <w:r w:rsidDel="00000000" w:rsidR="00000000" w:rsidRPr="00000000">
        <w:rPr>
          <w:b w:val="1"/>
          <w:color w:val="333333"/>
          <w:rtl w:val="0"/>
        </w:rPr>
        <w:t xml:space="preserve">4.1.  Формирование заявки в техподдержку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00" w:before="100" w:line="360" w:lineRule="auto"/>
        <w:ind w:left="420" w:firstLine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При поступлении обращения в каналы связи технической поддержки (телефон, чат, электронная почта) заводится Заявка с порядковым номером, приоритетом и описанием. Регистрацию обращений выполняют специалисты 1-й линии технической поддержки (за исключением случаев выявления проблем инженерами других линий</w:t>
      </w:r>
    </w:p>
    <w:p w:rsidR="00000000" w:rsidDel="00000000" w:rsidP="00000000" w:rsidRDefault="00000000" w:rsidRPr="00000000" w14:paraId="00000091">
      <w:pPr>
        <w:spacing w:after="100" w:before="100" w:line="360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after="100" w:before="100" w:line="360" w:lineRule="auto"/>
        <w:ind w:left="420" w:firstLine="0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4.2.  Обработка заявки</w:t>
      </w:r>
    </w:p>
    <w:p w:rsidR="00000000" w:rsidDel="00000000" w:rsidP="00000000" w:rsidRDefault="00000000" w:rsidRPr="00000000" w14:paraId="00000093">
      <w:pPr>
        <w:spacing w:after="100" w:before="100" w:line="360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100" w:before="100" w:line="360" w:lineRule="auto"/>
        <w:ind w:left="420" w:firstLine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процессе оформления заявки по обращению, специалисты заводят данные об авторе заявки, сути обращения автора заявки в техническую поддержку, наименование ресурсов, которые задействованы у заявителя.  Определяет категорию обращения, и исходя из этого принимает решение о выполнении заявки своими силами или эскалации её на уровень инженеров 2-й линии технической поддержки.</w:t>
      </w:r>
    </w:p>
    <w:p w:rsidR="00000000" w:rsidDel="00000000" w:rsidP="00000000" w:rsidRDefault="00000000" w:rsidRPr="00000000" w14:paraId="00000095">
      <w:pPr>
        <w:spacing w:after="100" w:before="100" w:line="360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after="100" w:before="100" w:line="360" w:lineRule="auto"/>
        <w:ind w:left="420" w:firstLine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Специалист 1-й линии выполняет работы по обращениям и инцидентам всеми доступными ему силами и средствами (собственные навыки, консультации с другими сотрудниками IT инфраструктуры, знания, получаемые из иных компетентных источников).  О ходе работ и способах решения проблемы, делает соответствующие примечания в комментарии. После выполнения работ по обращению и уточнения у заявителя, решена ли задача по обращению, заявка переводится в статус «решена». Если заявитель подтверждает, заявка считается не «решённой», а «закрытой». Инцидент или обращение, так же после этого считается закрытым.</w:t>
      </w:r>
    </w:p>
    <w:p w:rsidR="00000000" w:rsidDel="00000000" w:rsidP="00000000" w:rsidRDefault="00000000" w:rsidRPr="00000000" w14:paraId="00000097">
      <w:pPr>
        <w:spacing w:after="100" w:before="100" w:line="360" w:lineRule="auto"/>
        <w:ind w:left="420" w:firstLine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100" w:before="100" w:line="360" w:lineRule="auto"/>
        <w:ind w:left="420" w:firstLine="0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4.3.  Эскалация заявки</w:t>
      </w:r>
    </w:p>
    <w:p w:rsidR="00000000" w:rsidDel="00000000" w:rsidP="00000000" w:rsidRDefault="00000000" w:rsidRPr="00000000" w14:paraId="00000099">
      <w:pPr>
        <w:spacing w:after="100" w:before="100" w:line="360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100" w:before="100" w:line="360" w:lineRule="auto"/>
        <w:ind w:left="420" w:firstLine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Эскалация заявки с 1-й линии технической поддержки на вторую происходит в следующих случаях:</w:t>
      </w:r>
    </w:p>
    <w:p w:rsidR="00000000" w:rsidDel="00000000" w:rsidP="00000000" w:rsidRDefault="00000000" w:rsidRPr="00000000" w14:paraId="0000009B">
      <w:pPr>
        <w:spacing w:after="100" w:before="100" w:line="360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100" w:before="100" w:line="360" w:lineRule="auto"/>
        <w:ind w:left="420" w:firstLine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Для выполнения заявки требуются доступы к обслуживаемому ресурсу, которых нет у специалистов 1-й линии технической поддержки</w:t>
      </w:r>
    </w:p>
    <w:p w:rsidR="00000000" w:rsidDel="00000000" w:rsidP="00000000" w:rsidRDefault="00000000" w:rsidRPr="00000000" w14:paraId="0000009D">
      <w:pPr>
        <w:spacing w:after="100" w:before="100" w:line="360" w:lineRule="auto"/>
        <w:ind w:left="4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after="100" w:before="100" w:line="360" w:lineRule="auto"/>
        <w:ind w:left="420" w:firstLine="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Для выполнения заявки требуется более высокий уровень компетенции, чем есть у специалистов 1-й линии ТП, для решения заявки согласно SLA (Функциональная эскалация- решение о ней принимается более высоким уровнем по запросу более низкого (2-я линия забирает заявку, с которой не справляется 1-я)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1"/>
        <w:numPr>
          <w:ilvl w:val="0"/>
          <w:numId w:val="3"/>
        </w:numPr>
        <w:spacing w:line="360" w:lineRule="auto"/>
        <w:rPr/>
      </w:pPr>
      <w:bookmarkStart w:colFirst="0" w:colLast="0" w:name="_heading=h.lz8q242cqfm" w:id="4"/>
      <w:bookmarkEnd w:id="4"/>
      <w:r w:rsidDel="00000000" w:rsidR="00000000" w:rsidRPr="00000000">
        <w:rPr>
          <w:b w:val="1"/>
          <w:color w:val="0b2349"/>
          <w:sz w:val="28"/>
          <w:szCs w:val="28"/>
          <w:vertAlign w:val="baseline"/>
          <w:rtl w:val="0"/>
        </w:rPr>
        <w:t xml:space="preserve">Техническая поддержка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Для оказания технической поддержки ПО выделен единый номер технической поддержки +7 (499) 460-44-57. 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Также пользователи ПО могут направлять возникающие вопросы на электронную почту технической поддержки по адресу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help@rocketwork.ru</w:t>
        </w:r>
      </w:hyperlink>
      <w:r w:rsidDel="00000000" w:rsidR="00000000" w:rsidRPr="00000000">
        <w:rPr>
          <w:rtl w:val="0"/>
        </w:rPr>
        <w:t xml:space="preserve"> или на порталах технической поддержки, расположенных по адресам адресу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https://help.rocketwork.ru/</w:t>
        </w:r>
      </w:hyperlink>
      <w:r w:rsidDel="00000000" w:rsidR="00000000" w:rsidRPr="00000000">
        <w:rPr>
          <w:rtl w:val="0"/>
        </w:rPr>
        <w:t xml:space="preserve"> ,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https://app.rocketwork.ru/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jc w:val="both"/>
        <w:rPr/>
      </w:pPr>
      <w:r w:rsidDel="00000000" w:rsidR="00000000" w:rsidRPr="00000000">
        <w:rPr>
          <w:rtl w:val="0"/>
        </w:rPr>
        <w:br w:type="textWrapping"/>
        <w:t xml:space="preserve">Поддержка работает в рабочие дни (понедельник-пятница) с 10 по 19 часов (московское время).</w:t>
      </w:r>
    </w:p>
    <w:p w:rsidR="00000000" w:rsidDel="00000000" w:rsidP="00000000" w:rsidRDefault="00000000" w:rsidRPr="00000000" w14:paraId="000000A4">
      <w:pPr>
        <w:pStyle w:val="Heading2"/>
        <w:spacing w:line="360" w:lineRule="auto"/>
        <w:ind w:left="0" w:firstLine="0"/>
        <w:rPr>
          <w:b w:val="1"/>
          <w:color w:val="0b2349"/>
          <w:sz w:val="24"/>
          <w:szCs w:val="24"/>
          <w:vertAlign w:val="baseline"/>
        </w:rPr>
      </w:pPr>
      <w:bookmarkStart w:colFirst="0" w:colLast="0" w:name="_heading=h.btyzy6io60c4" w:id="5"/>
      <w:bookmarkEnd w:id="5"/>
      <w:r w:rsidDel="00000000" w:rsidR="00000000" w:rsidRPr="00000000">
        <w:rPr>
          <w:b w:val="1"/>
          <w:color w:val="0b2349"/>
          <w:sz w:val="24"/>
          <w:szCs w:val="24"/>
          <w:rtl w:val="0"/>
        </w:rPr>
        <w:t xml:space="preserve">5.1. </w:t>
      </w:r>
      <w:r w:rsidDel="00000000" w:rsidR="00000000" w:rsidRPr="00000000">
        <w:rPr>
          <w:b w:val="1"/>
          <w:color w:val="0b2349"/>
          <w:sz w:val="24"/>
          <w:szCs w:val="24"/>
          <w:vertAlign w:val="baseline"/>
          <w:rtl w:val="0"/>
        </w:rPr>
        <w:t xml:space="preserve">Информация о персонале</w:t>
      </w:r>
    </w:p>
    <w:p w:rsidR="00000000" w:rsidDel="00000000" w:rsidP="00000000" w:rsidRDefault="00000000" w:rsidRPr="00000000" w14:paraId="000000A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Обеспечение поддержки продукта осуществляется силами сотрудников Отдела поддержки клиентов и сотрудниками Отдела разработки.</w:t>
        <w:br w:type="textWrapping"/>
        <w:t xml:space="preserve">Поддержку клиентов оказывают 7 человек (включая Руководителя отдела) </w:t>
      </w:r>
    </w:p>
    <w:p w:rsidR="00000000" w:rsidDel="00000000" w:rsidP="00000000" w:rsidRDefault="00000000" w:rsidRPr="00000000" w14:paraId="000000A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В процессе разработки задействованы следующие специалисты: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Backend разработчики (специализация Ruby on rails) – 4 единицы (1 tech lead, 2 senior, 1 middle)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Frontend разработчики (специализация React (JavaScript)) – 2 единицы (1 senior, 1 middle)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 (Android) (специализация Kotlin) – 2 единицы (1 senior, 1 middle)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 (iOS) (специализация Swift) – 2 единицы (2 senior)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DevOps – 1 единица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862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860"/>
        <w:gridCol w:w="2235"/>
        <w:gridCol w:w="2220"/>
        <w:gridCol w:w="2310"/>
        <w:tblGridChange w:id="0">
          <w:tblGrid>
            <w:gridCol w:w="1860"/>
            <w:gridCol w:w="2235"/>
            <w:gridCol w:w="2220"/>
            <w:gridCol w:w="231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left="28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left="28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Должность/Подразделение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28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ind w:left="28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Специальность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Шафигин Ильяс Газинурович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Ведущий мобильный разработчик Андроид / Отдел мобильной разработки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Высшее, ФГАОУ ВО "Южно-Уральский государственный университет (национальный исследовательский университет)" г.Челябинск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Радиоэлектронные системы и комплексы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Ильичев Виктор Павлович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Старший администратор / Отдел девопс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Среднее, ГОУ СПО "Тюменский государственный колледж связи, информатики и управления</w:t>
            </w:r>
          </w:p>
          <w:p w:rsidR="00000000" w:rsidDel="00000000" w:rsidP="00000000" w:rsidRDefault="00000000" w:rsidRPr="00000000" w14:paraId="000000B9">
            <w:pPr>
              <w:ind w:left="280" w:firstLine="70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Программное обеспечение вычислительной техники и автоматизированных систем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Чичев Максим Игоревич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Разработчик / Отдел бэкенд разработки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Высшее, Московский Институт Инженеров Транспорта (Московский Государственный Университет Путей Сообщения)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Экономика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Бурдаев Евгений Владиславович 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CTO / ИП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Высшее, НИУ ВШЭ, Факультет Компьютерных Наук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Программный Инженер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Медведев Кирилл Викторович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IOS developer / ИП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Неоконченное высшее, МАДИ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Логистика и управление цепями поставок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Медведев Максим Викторович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IOS developer / СМЗ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Высшее, ГОУ ВПО Московский Государственный Университет Сервиса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Экономист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Щекин Никита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Front-end разработчик / ИП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Высшее, Тольяттинский Государственный Университет</w:t>
            </w:r>
          </w:p>
          <w:p w:rsidR="00000000" w:rsidDel="00000000" w:rsidP="00000000" w:rsidRDefault="00000000" w:rsidRPr="00000000" w14:paraId="000000CE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Конструкторско-технологическое обеспечение машиностроительных производств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Инженер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Рогачев Андрей Васильевич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Front-end разработчик / ИП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Высшее, Волжский университет имени В. Н. Татищева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Инженер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Григорьев Дмитрий Геннадьевич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Front-end разработчик / ИП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Высшее, ЧГУ им.Ульянова</w:t>
            </w:r>
          </w:p>
          <w:p w:rsidR="00000000" w:rsidDel="00000000" w:rsidP="00000000" w:rsidRDefault="00000000" w:rsidRPr="00000000" w14:paraId="000000D7">
            <w:pPr>
              <w:ind w:left="2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Вычислительные машины комплексы системы и сети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Елушев Сергей Николаевич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Ведущий разработчик / ИП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Высшее, Федеральное государственное бюджетное образовательное учреждение высшего образования “Ульяновский государственный технический университет”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2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Программная инженерия</w:t>
            </w:r>
          </w:p>
          <w:p w:rsidR="00000000" w:rsidDel="00000000" w:rsidP="00000000" w:rsidRDefault="00000000" w:rsidRPr="00000000" w14:paraId="000000DD">
            <w:pPr>
              <w:ind w:left="2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F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2"/>
        <w:spacing w:line="360" w:lineRule="auto"/>
        <w:ind w:left="0" w:firstLine="0"/>
        <w:rPr>
          <w:b w:val="1"/>
          <w:color w:val="0b2349"/>
          <w:sz w:val="24"/>
          <w:szCs w:val="24"/>
          <w:vertAlign w:val="baseline"/>
        </w:rPr>
      </w:pPr>
      <w:bookmarkStart w:colFirst="0" w:colLast="0" w:name="_heading=h.14834mbobt32" w:id="6"/>
      <w:bookmarkEnd w:id="6"/>
      <w:r w:rsidDel="00000000" w:rsidR="00000000" w:rsidRPr="00000000">
        <w:rPr>
          <w:b w:val="1"/>
          <w:color w:val="0b2349"/>
          <w:sz w:val="24"/>
          <w:szCs w:val="24"/>
          <w:rtl w:val="0"/>
        </w:rPr>
        <w:t xml:space="preserve">5.2. </w:t>
      </w:r>
      <w:r w:rsidDel="00000000" w:rsidR="00000000" w:rsidRPr="00000000">
        <w:rPr>
          <w:b w:val="1"/>
          <w:color w:val="0b2349"/>
          <w:sz w:val="24"/>
          <w:szCs w:val="24"/>
          <w:vertAlign w:val="baseline"/>
          <w:rtl w:val="0"/>
        </w:rPr>
        <w:t xml:space="preserve">Фактический адрес размещения разработчиков</w:t>
      </w:r>
    </w:p>
    <w:p w:rsidR="00000000" w:rsidDel="00000000" w:rsidP="00000000" w:rsidRDefault="00000000" w:rsidRPr="00000000" w14:paraId="000000E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Отдел разработки находится по месту регистрации организации, а именно 107140, Москва г, 3-й Красносельский пер, дом 19, строение 13, пом.V, ком 1</w:t>
      </w:r>
    </w:p>
    <w:p w:rsidR="00000000" w:rsidDel="00000000" w:rsidP="00000000" w:rsidRDefault="00000000" w:rsidRPr="00000000" w14:paraId="000000E3">
      <w:pPr>
        <w:pStyle w:val="Heading2"/>
        <w:spacing w:line="360" w:lineRule="auto"/>
        <w:rPr>
          <w:vertAlign w:val="baseline"/>
        </w:rPr>
      </w:pPr>
      <w:bookmarkStart w:colFirst="0" w:colLast="0" w:name="_heading=h.nxkw2zhn6rf" w:id="7"/>
      <w:bookmarkEnd w:id="7"/>
      <w:r w:rsidDel="00000000" w:rsidR="00000000" w:rsidRPr="00000000">
        <w:rPr>
          <w:b w:val="1"/>
          <w:color w:val="0b2349"/>
          <w:sz w:val="24"/>
          <w:szCs w:val="24"/>
          <w:rtl w:val="0"/>
        </w:rPr>
        <w:t xml:space="preserve">5.3. </w:t>
      </w:r>
      <w:r w:rsidDel="00000000" w:rsidR="00000000" w:rsidRPr="00000000">
        <w:rPr>
          <w:b w:val="1"/>
          <w:color w:val="0b2349"/>
          <w:sz w:val="24"/>
          <w:szCs w:val="24"/>
          <w:rtl w:val="0"/>
        </w:rPr>
        <w:t xml:space="preserve">Фактический адрес размещения службы поддержки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Отдел поддержки клиентов находится по месту регистрации организации, а именно 107140, Москва г, 3-й Красносельский пер, дом 19, строение 13, пом.V, ком 1</w:t>
      </w:r>
    </w:p>
    <w:p w:rsidR="00000000" w:rsidDel="00000000" w:rsidP="00000000" w:rsidRDefault="00000000" w:rsidRPr="00000000" w14:paraId="000000E5">
      <w:pPr>
        <w:pStyle w:val="Heading2"/>
        <w:spacing w:line="360" w:lineRule="auto"/>
        <w:ind w:left="0" w:firstLine="0"/>
        <w:rPr>
          <w:b w:val="1"/>
          <w:color w:val="0b2349"/>
          <w:sz w:val="24"/>
          <w:szCs w:val="24"/>
          <w:vertAlign w:val="baseline"/>
        </w:rPr>
      </w:pPr>
      <w:bookmarkStart w:colFirst="0" w:colLast="0" w:name="_heading=h.4o1czjgllzyi" w:id="8"/>
      <w:bookmarkEnd w:id="8"/>
      <w:r w:rsidDel="00000000" w:rsidR="00000000" w:rsidRPr="00000000">
        <w:rPr>
          <w:b w:val="1"/>
          <w:color w:val="0b2349"/>
          <w:sz w:val="24"/>
          <w:szCs w:val="24"/>
          <w:rtl w:val="0"/>
        </w:rPr>
        <w:t xml:space="preserve">5.4. </w:t>
      </w:r>
      <w:r w:rsidDel="00000000" w:rsidR="00000000" w:rsidRPr="00000000">
        <w:rPr>
          <w:b w:val="1"/>
          <w:color w:val="0b2349"/>
          <w:sz w:val="24"/>
          <w:szCs w:val="24"/>
          <w:vertAlign w:val="baseline"/>
          <w:rtl w:val="0"/>
        </w:rPr>
        <w:t xml:space="preserve">Информация о фактическом адресе размещения инфраструктуры разработки</w:t>
      </w:r>
    </w:p>
    <w:p w:rsidR="00000000" w:rsidDel="00000000" w:rsidP="00000000" w:rsidRDefault="00000000" w:rsidRPr="00000000" w14:paraId="000000E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Инфраструктура децентрализована, размещается в ДЦ Яндекс.Облако. ДЦ расположены в Московской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numPr>
          <w:ilvl w:val="0"/>
          <w:numId w:val="3"/>
        </w:numPr>
        <w:spacing w:line="360" w:lineRule="auto"/>
        <w:rPr/>
      </w:pPr>
      <w:bookmarkStart w:colFirst="0" w:colLast="0" w:name="_heading=h.x330q83au9ra" w:id="9"/>
      <w:bookmarkEnd w:id="9"/>
      <w:r w:rsidDel="00000000" w:rsidR="00000000" w:rsidRPr="00000000">
        <w:rPr>
          <w:b w:val="1"/>
          <w:color w:val="0b2349"/>
          <w:sz w:val="28"/>
          <w:szCs w:val="28"/>
          <w:rtl w:val="0"/>
        </w:rPr>
        <w:t xml:space="preserve">Процесс разработки 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Внедрение функциональности в ПО происходит итеративно в рамках полного цикла. </w:t>
      </w:r>
    </w:p>
    <w:p w:rsidR="00000000" w:rsidDel="00000000" w:rsidP="00000000" w:rsidRDefault="00000000" w:rsidRPr="00000000" w14:paraId="000000E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Каждая итерация представляет из себя следующее: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 получает описанное ТЗ от команды аналитиков и берет его в работу.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Далее реализованный функционал подвергается тестированию в специально подготовленной для этого среде на отдельном стенде (staging)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обнаружения дефектов разработчик вносит необходимые правки и после внесения доработок функционал вновь подвергается тестированию до полного избавления от дефектов.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проведения тестовых испытаний ПО выпускается. В случае с мобильными платформами происходит выпуск в App Store и Google Play Market.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серверного ПО собирается Docker-образ и запускается на удаленном сервере в облачной среде (Яндекс.Облако)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Style w:val="Heading1"/>
        <w:numPr>
          <w:ilvl w:val="0"/>
          <w:numId w:val="3"/>
        </w:numPr>
        <w:spacing w:after="240" w:before="240" w:line="360" w:lineRule="auto"/>
        <w:ind w:left="0" w:firstLine="0"/>
        <w:rPr>
          <w:b w:val="1"/>
          <w:color w:val="0b2349"/>
          <w:u w:val="none"/>
        </w:rPr>
      </w:pPr>
      <w:bookmarkStart w:colFirst="0" w:colLast="0" w:name="_heading=h.jafy4wb968fm" w:id="10"/>
      <w:bookmarkEnd w:id="10"/>
      <w:r w:rsidDel="00000000" w:rsidR="00000000" w:rsidRPr="00000000">
        <w:rPr>
          <w:b w:val="1"/>
          <w:color w:val="0b2349"/>
          <w:sz w:val="28"/>
          <w:szCs w:val="28"/>
          <w:rtl w:val="0"/>
        </w:rPr>
        <w:t xml:space="preserve">Информация о фактическом адресе размещения инфраструктуры разработки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Инфраструктура децентрализована, размещается в ДЦ Яндекс.Облако. ДЦ расположены в Московской области.</w:t>
      </w:r>
    </w:p>
    <w:p w:rsidR="00000000" w:rsidDel="00000000" w:rsidP="00000000" w:rsidRDefault="00000000" w:rsidRPr="00000000" w14:paraId="000000F2">
      <w:pPr>
        <w:pStyle w:val="Heading1"/>
        <w:numPr>
          <w:ilvl w:val="0"/>
          <w:numId w:val="3"/>
        </w:numPr>
        <w:spacing w:line="360" w:lineRule="auto"/>
        <w:ind w:left="0" w:firstLine="0"/>
        <w:rPr/>
      </w:pPr>
      <w:bookmarkStart w:colFirst="0" w:colLast="0" w:name="_heading=h.voxplxkdg2" w:id="11"/>
      <w:bookmarkEnd w:id="11"/>
      <w:r w:rsidDel="00000000" w:rsidR="00000000" w:rsidRPr="00000000">
        <w:rPr>
          <w:b w:val="1"/>
          <w:color w:val="0b2349"/>
          <w:sz w:val="28"/>
          <w:szCs w:val="28"/>
          <w:rtl w:val="0"/>
        </w:rPr>
        <w:t xml:space="preserve">Дорожная карта развития</w:t>
      </w:r>
    </w:p>
    <w:p w:rsidR="00000000" w:rsidDel="00000000" w:rsidP="00000000" w:rsidRDefault="00000000" w:rsidRPr="00000000" w14:paraId="000000F3">
      <w:pPr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План развития продукта предусматривает следующие функциональные возможности:</w:t>
      </w:r>
    </w:p>
    <w:p w:rsidR="00000000" w:rsidDel="00000000" w:rsidP="00000000" w:rsidRDefault="00000000" w:rsidRPr="00000000" w14:paraId="000000F4">
      <w:pPr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50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735"/>
        <w:gridCol w:w="1815"/>
        <w:tblGridChange w:id="0">
          <w:tblGrid>
            <w:gridCol w:w="6735"/>
            <w:gridCol w:w="181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Кредитование заказчика в Рокет Ворк при кассовом разрыве (с привлечение партнерских финансовых организаций)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апрель 2022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Авансирование исполнителей по незавершенным сделкам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апрель 2022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Полный редизайн мобильного приложения Рокет Ворк с расширеннием функционала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май 2022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Реализация реферальной программы для заказчиков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май 2022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Реализация сделок физик-физик в Рокет Ворк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июнь 2022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Реализация сделок юрик-юрик в Рокет Ворк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июль 2022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Расширенная проверка данных исполнителей перед заключение сделки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июль 2022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Расширение функционала поддержки клиентов (новый встроенный чат)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август 2022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Новые тарифные опции (выбор тарифного плана для заказчика)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сентябрь 2022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Выпуск мобильного приложения Рокет Ворк для заказчиков (в дополнение к веб личному кабинету)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36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октябрь-декабрь 2022</w:t>
            </w:r>
          </w:p>
        </w:tc>
      </w:tr>
    </w:tbl>
    <w:p w:rsidR="00000000" w:rsidDel="00000000" w:rsidP="00000000" w:rsidRDefault="00000000" w:rsidRPr="00000000" w14:paraId="000001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1"/>
        <w:numPr>
          <w:ilvl w:val="0"/>
          <w:numId w:val="3"/>
        </w:numPr>
        <w:spacing w:line="360" w:lineRule="auto"/>
        <w:ind w:hanging="30"/>
        <w:rPr/>
      </w:pPr>
      <w:bookmarkStart w:colFirst="0" w:colLast="0" w:name="_heading=h.sisvbx4grpb" w:id="12"/>
      <w:bookmarkEnd w:id="12"/>
      <w:r w:rsidDel="00000000" w:rsidR="00000000" w:rsidRPr="00000000">
        <w:rPr>
          <w:b w:val="1"/>
          <w:color w:val="0b2349"/>
          <w:sz w:val="28"/>
          <w:szCs w:val="28"/>
          <w:rtl w:val="0"/>
        </w:rPr>
        <w:t xml:space="preserve">Совершенствование программного обеспечения ООО «Рокет Ворк».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Программное обеспечение регулярно развивается: в нем появляются новые дополнительные возможности, расширяется функционал, оптимизируется нагрузка ресурсов ПК, обновляется интерфейс. </w:t>
      </w:r>
    </w:p>
    <w:p w:rsidR="00000000" w:rsidDel="00000000" w:rsidP="00000000" w:rsidRDefault="00000000" w:rsidRPr="00000000" w14:paraId="000001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Пользователь может самостоятельно повлиять на совершенствование программного обеспечения, для этого необходимо направить предложение по усовершенствованию на почту технической поддержки по адресу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help@rocketwork.ru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Предложение будет рассмотрено и, в случае признания его эффективности, в программное обеспечение будут внесены соответствующие изменения.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first"/>
      <w:footerReference r:id="rId14" w:type="even"/>
      <w:pgSz w:h="16838" w:w="11906" w:orient="portrait"/>
      <w:pgMar w:bottom="1134" w:top="1134" w:left="1700.7874015748032" w:right="850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spacing w:line="276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ffffff"/>
        <w:sz w:val="22"/>
        <w:szCs w:val="22"/>
        <w:shd w:fill="0b2349" w:val="clear"/>
        <w:rtl w:val="0"/>
      </w:rPr>
      <w:t xml:space="preserve">  </w:t>
    </w:r>
    <w:r w:rsidDel="00000000" w:rsidR="00000000" w:rsidRPr="00000000">
      <w:rPr>
        <w:rFonts w:ascii="Arial" w:cs="Arial" w:eastAsia="Arial" w:hAnsi="Arial"/>
        <w:color w:val="ffffff"/>
        <w:sz w:val="22"/>
        <w:szCs w:val="22"/>
        <w:shd w:fill="0b2349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ffffff"/>
        <w:sz w:val="22"/>
        <w:szCs w:val="22"/>
        <w:shd w:fill="0b2349" w:val="clear"/>
        <w:rtl w:val="0"/>
      </w:rPr>
      <w:t xml:space="preserve">    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color w:val="0b2349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696"/>
    <w:next w:val="696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697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696"/>
    <w:next w:val="696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697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696"/>
    <w:next w:val="696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697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696"/>
    <w:next w:val="696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697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696"/>
    <w:next w:val="696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697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696"/>
    <w:next w:val="696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697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696"/>
    <w:next w:val="696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697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696"/>
    <w:next w:val="696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697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696"/>
    <w:next w:val="696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697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31">
    <w:name w:val="No Spacing"/>
    <w:uiPriority w:val="1"/>
    <w:qFormat w:val="1"/>
    <w:pPr>
      <w:spacing w:after="0" w:before="0" w:line="240" w:lineRule="auto"/>
    </w:pPr>
  </w:style>
  <w:style w:type="paragraph" w:styleId="32">
    <w:name w:val="Title"/>
    <w:basedOn w:val="696"/>
    <w:next w:val="696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697"/>
    <w:link w:val="32"/>
    <w:uiPriority w:val="10"/>
    <w:rPr>
      <w:sz w:val="48"/>
      <w:szCs w:val="48"/>
    </w:rPr>
  </w:style>
  <w:style w:type="paragraph" w:styleId="34">
    <w:name w:val="Subtitle"/>
    <w:basedOn w:val="696"/>
    <w:next w:val="696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697"/>
    <w:link w:val="34"/>
    <w:uiPriority w:val="11"/>
    <w:rPr>
      <w:sz w:val="24"/>
      <w:szCs w:val="24"/>
    </w:rPr>
  </w:style>
  <w:style w:type="paragraph" w:styleId="36">
    <w:name w:val="Quote"/>
    <w:basedOn w:val="696"/>
    <w:next w:val="696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696"/>
    <w:next w:val="696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character" w:styleId="41">
    <w:name w:val="Header Char"/>
    <w:basedOn w:val="697"/>
    <w:link w:val="705"/>
    <w:uiPriority w:val="99"/>
  </w:style>
  <w:style w:type="character" w:styleId="43">
    <w:name w:val="Footer Char"/>
    <w:basedOn w:val="697"/>
    <w:link w:val="707"/>
    <w:uiPriority w:val="99"/>
  </w:style>
  <w:style w:type="paragraph" w:styleId="44">
    <w:name w:val="Caption"/>
    <w:basedOn w:val="696"/>
    <w:next w:val="696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707"/>
    <w:uiPriority w:val="99"/>
  </w:style>
  <w:style w:type="table" w:styleId="46">
    <w:name w:val="Table Grid"/>
    <w:basedOn w:val="698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698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698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themeColor="text1" w:themeFill="text1" w:themeFillTint="00000D" w:themeTint="00000D" w:val="clear"/>
      </w:tcPr>
    </w:tblStylePr>
    <w:tblStylePr w:type="band1Vert"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698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69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69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69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69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69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69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69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text1" w:themeFill="text1" w:themeFillTint="000040" w:themeTint="000040" w:val="clear"/>
    </w:tblPr>
    <w:tblStylePr w:type="band1Horz">
      <w:tcPr>
        <w:shd w:color="ffffff" w:themeColor="text1" w:themeFill="text1" w:themeFillTint="000075" w:themeTint="000075" w:val="clear"/>
      </w:tcPr>
    </w:tblStylePr>
    <w:tblStylePr w:type="band1Vert">
      <w:tcPr>
        <w:shd w:color="ffffff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text1" w:themeFill="text1" w:val="clear"/>
      </w:tcPr>
    </w:tblStylePr>
  </w:style>
  <w:style w:type="table" w:styleId="82">
    <w:name w:val="Grid Table 5 Dark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1" w:themeFill="accent1" w:themeFillTint="000034" w:themeTint="000034" w:val="clear"/>
    </w:tblPr>
    <w:tblStylePr w:type="band1Horz">
      <w:tcPr>
        <w:shd w:color="ffffff" w:themeColor="accent1" w:themeFill="accent1" w:themeFillTint="000075" w:themeTint="000075" w:val="clear"/>
      </w:tcPr>
    </w:tblStylePr>
    <w:tblStylePr w:type="band1Vert">
      <w:tcPr>
        <w:shd w:color="ffffff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1" w:themeFill="accent1" w:val="clear"/>
      </w:tcPr>
    </w:tblStylePr>
  </w:style>
  <w:style w:type="table" w:styleId="83">
    <w:name w:val="Grid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2" w:themeFill="accent2" w:themeFillTint="000032" w:themeTint="000032" w:val="clear"/>
    </w:tblPr>
    <w:tblStylePr w:type="band1Horz">
      <w:tcPr>
        <w:shd w:color="ffffff" w:themeColor="accent2" w:themeFill="accent2" w:themeFillTint="000075" w:themeTint="000075" w:val="clear"/>
      </w:tcPr>
    </w:tblStylePr>
    <w:tblStylePr w:type="band1Vert">
      <w:tcPr>
        <w:shd w:color="ffffff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2" w:themeFill="accent2" w:val="clear"/>
      </w:tcPr>
    </w:tblStylePr>
  </w:style>
  <w:style w:type="table" w:styleId="84">
    <w:name w:val="Grid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3" w:themeFill="accent3" w:themeFillTint="000034" w:themeTint="000034" w:val="clear"/>
    </w:tblPr>
    <w:tblStylePr w:type="band1Horz">
      <w:tcPr>
        <w:shd w:color="ffffff" w:themeColor="accent3" w:themeFill="accent3" w:themeFillTint="000075" w:themeTint="000075" w:val="clear"/>
      </w:tcPr>
    </w:tblStylePr>
    <w:tblStylePr w:type="band1Vert">
      <w:tcPr>
        <w:shd w:color="ffffff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3" w:themeFill="accent3" w:val="clear"/>
      </w:tcPr>
    </w:tblStylePr>
  </w:style>
  <w:style w:type="table" w:styleId="85">
    <w:name w:val="Grid Table 5 Dark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4" w:themeFill="accent4" w:themeFillTint="000034" w:themeTint="000034" w:val="clear"/>
    </w:tblPr>
    <w:tblStylePr w:type="band1Horz">
      <w:tcPr>
        <w:shd w:color="ffffff" w:themeColor="accent4" w:themeFill="accent4" w:themeFillTint="000075" w:themeTint="000075" w:val="clear"/>
      </w:tcPr>
    </w:tblStylePr>
    <w:tblStylePr w:type="band1Vert">
      <w:tcPr>
        <w:shd w:color="ffffff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4" w:themeFill="accent4" w:val="clear"/>
      </w:tcPr>
    </w:tblStylePr>
  </w:style>
  <w:style w:type="table" w:styleId="86">
    <w:name w:val="Grid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5" w:themeFill="accent5" w:themeFillTint="000034" w:themeTint="000034" w:val="clear"/>
    </w:tblPr>
    <w:tblStylePr w:type="band1Horz">
      <w:tcPr>
        <w:shd w:color="ffffff" w:themeColor="accent5" w:themeFill="accent5" w:themeFillTint="000075" w:themeTint="000075" w:val="clear"/>
      </w:tcPr>
    </w:tblStylePr>
    <w:tblStylePr w:type="band1Vert">
      <w:tcPr>
        <w:shd w:color="ffffff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5" w:themeFill="accent5" w:val="clear"/>
      </w:tcPr>
    </w:tblStylePr>
  </w:style>
  <w:style w:type="table" w:styleId="87">
    <w:name w:val="Grid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6" w:themeFill="accent6" w:themeFillTint="000034" w:themeTint="000034" w:val="clear"/>
    </w:tblPr>
    <w:tblStylePr w:type="band1Horz">
      <w:tcPr>
        <w:shd w:color="ffffff" w:themeColor="accent6" w:themeFill="accent6" w:themeFillTint="000075" w:themeTint="000075" w:val="clear"/>
      </w:tcPr>
    </w:tblStylePr>
    <w:tblStylePr w:type="band1Vert">
      <w:tcPr>
        <w:shd w:color="ffffff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6" w:themeFill="accent6" w:val="clear"/>
      </w:tcPr>
    </w:tblStylePr>
  </w:style>
  <w:style w:type="table" w:styleId="88">
    <w:name w:val="Grid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tcPr>
        <w:shd w:color="ffffff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tcPr>
        <w:shd w:color="ffffff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664a9" w:themeColor="accent1" w:themeShade="000095" w:themeTint="000080"/>
      </w:rPr>
    </w:tblStylePr>
    <w:tblStylePr w:type="firstRow">
      <w:rPr>
        <w:b w:val="1"/>
        <w:color w:val="3664a9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664a9" w:themeColor="accent1" w:themeShade="000095" w:themeTint="000080"/>
      </w:rPr>
    </w:tblStylePr>
    <w:tblStylePr w:type="lastRow">
      <w:rPr>
        <w:b w:val="1"/>
        <w:color w:val="3664a9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tcPr>
        <w:shd w:color="ffffff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tcPr>
        <w:shd w:color="ffffff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tcPr>
        <w:shd w:color="ffffff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tcPr>
        <w:shd w:color="ffffff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45d8d" w:themeColor="accent5" w:themeShade="000095"/>
      </w:rPr>
    </w:tblStylePr>
    <w:tblStylePr w:type="firstRow">
      <w:rPr>
        <w:b w:val="1"/>
        <w:color w:val="245d8d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45d8d" w:themeColor="accent5" w:themeShade="000095"/>
      </w:rPr>
    </w:tblStylePr>
    <w:tblStylePr w:type="lastRow">
      <w:rPr>
        <w:b w:val="1"/>
        <w:color w:val="245d8d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tcPr>
        <w:shd w:color="ffffff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45d8d" w:themeColor="accent5" w:themeShade="000095"/>
      </w:rPr>
    </w:tblStylePr>
    <w:tblStylePr w:type="firstRow">
      <w:rPr>
        <w:b w:val="1"/>
        <w:color w:val="245d8d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45d8d" w:themeColor="accent5" w:themeShade="000095"/>
      </w:rPr>
    </w:tblStylePr>
    <w:tblStylePr w:type="lastRow">
      <w:rPr>
        <w:b w:val="1"/>
        <w:color w:val="245d8d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tcPr>
        <w:shd w:color="ffffff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6">
    <w:name w:val="Grid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664a9" w:themeColor="accent1" w:themeShade="000095" w:themeTint="00008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tcPr>
        <w:shd w:color="ffffff" w:themeColor="accent1" w:themeFill="accent1" w:themeFillTint="000034" w:themeTint="000034" w:val="clear"/>
      </w:tcPr>
    </w:tblStylePr>
    <w:tblStylePr w:type="band2Horz">
      <w:rPr>
        <w:rFonts w:ascii="Arial" w:hAnsi="Arial"/>
        <w:color w:val="3664a9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664a9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664a9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3664a9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664a9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7">
    <w:name w:val="Grid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tcPr>
        <w:shd w:color="ffffff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8">
    <w:name w:val="Grid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tcPr>
        <w:shd w:color="ffffff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9">
    <w:name w:val="Grid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tcPr>
        <w:shd w:color="ffffff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0">
    <w:name w:val="Grid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45d8d" w:themeColor="accent5" w:themeShade="000095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tcPr>
        <w:shd w:color="ffffff" w:themeColor="accent5" w:themeFill="accent5" w:themeFillTint="000034" w:themeTint="000034" w:val="clear"/>
      </w:tcPr>
    </w:tblStylePr>
    <w:tblStylePr w:type="band2Horz">
      <w:rPr>
        <w:rFonts w:ascii="Arial" w:hAnsi="Arial"/>
        <w:color w:val="245d8d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45d8d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45d8d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1">
    <w:name w:val="Grid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tcPr>
        <w:shd w:color="ffffff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2">
    <w:name w:val="List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54374" w:themeColor="accent1" w:themeShade="000095"/>
      </w:rPr>
    </w:tblStylePr>
    <w:tblStylePr w:type="firstRow">
      <w:rPr>
        <w:b w:val="1"/>
        <w:color w:val="254374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54374" w:themeColor="accent1" w:themeShade="000095"/>
      </w:rPr>
    </w:tblStylePr>
    <w:tblStylePr w:type="lastRow">
      <w:rPr>
        <w:b w:val="1"/>
        <w:color w:val="254374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2e78b1" w:themeColor="accent5" w:themeShade="000095" w:themeTint="00009A"/>
      </w:rPr>
    </w:tblStylePr>
    <w:tblStylePr w:type="firstRow">
      <w:rPr>
        <w:b w:val="1"/>
        <w:color w:val="2e78b1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2e78b1" w:themeColor="accent5" w:themeShade="000095" w:themeTint="00009A"/>
      </w:rPr>
    </w:tblStylePr>
    <w:tblStylePr w:type="lastRow">
      <w:rPr>
        <w:b w:val="1"/>
        <w:color w:val="2e78b1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54374" w:themeColor="accent1" w:themeShade="000095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band2Horz">
      <w:rPr>
        <w:rFonts w:ascii="Arial" w:hAnsi="Arial"/>
        <w:color w:val="254374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54374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254374" w:themeColor="accent1" w:themeShade="000095"/>
        <w:sz w:val="22"/>
      </w:rPr>
    </w:tblStylePr>
  </w:style>
  <w:style w:type="table" w:styleId="146">
    <w:name w:val="List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2e78b1" w:themeColor="accent5" w:themeShade="000095" w:themeTint="00009A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band2Horz">
      <w:rPr>
        <w:rFonts w:ascii="Arial" w:hAnsi="Arial"/>
        <w:color w:val="2e78b1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2e78b1" w:themeColor="accent5" w:themeShade="000095" w:themeTint="00009A"/>
        <w:sz w:val="22"/>
      </w:rPr>
    </w:tblStylePr>
  </w:style>
  <w:style w:type="table" w:styleId="150">
    <w:name w:val="List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</w:style>
  <w:style w:type="table" w:styleId="152">
    <w:name w:val="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</w:style>
  <w:style w:type="table" w:styleId="153">
    <w:name w:val="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</w:style>
  <w:style w:type="table" w:styleId="154">
    <w:name w:val="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</w:style>
  <w:style w:type="table" w:styleId="155">
    <w:name w:val="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</w:style>
  <w:style w:type="table" w:styleId="156">
    <w:name w:val="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</w:style>
  <w:style w:type="table" w:styleId="157">
    <w:name w:val="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</w:style>
  <w:style w:type="table" w:styleId="158">
    <w:name w:val="Bordered &amp; 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</w:style>
  <w:style w:type="table" w:styleId="159">
    <w:name w:val="Bordered &amp; 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</w:style>
  <w:style w:type="table" w:styleId="160">
    <w:name w:val="Bordered &amp; 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</w:style>
  <w:style w:type="table" w:styleId="161">
    <w:name w:val="Bordered &amp; 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</w:style>
  <w:style w:type="table" w:styleId="162">
    <w:name w:val="Bordered &amp; 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</w:style>
  <w:style w:type="table" w:styleId="163">
    <w:name w:val="Bordered &amp; 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</w:style>
  <w:style w:type="table" w:styleId="164">
    <w:name w:val="Bordered &amp; 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</w:style>
  <w:style w:type="table" w:styleId="165">
    <w:name w:val="Bordered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paragraph" w:styleId="173">
    <w:name w:val="footnote text"/>
    <w:basedOn w:val="696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7"/>
    <w:uiPriority w:val="99"/>
    <w:unhideWhenUsed w:val="1"/>
    <w:rPr>
      <w:vertAlign w:val="superscript"/>
    </w:rPr>
  </w:style>
  <w:style w:type="paragraph" w:styleId="176">
    <w:name w:val="endnote text"/>
    <w:basedOn w:val="696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7"/>
    <w:uiPriority w:val="99"/>
    <w:semiHidden w:val="1"/>
    <w:unhideWhenUsed w:val="1"/>
    <w:rPr>
      <w:vertAlign w:val="superscript"/>
    </w:rPr>
  </w:style>
  <w:style w:type="paragraph" w:styleId="179">
    <w:name w:val="toc 1"/>
    <w:basedOn w:val="696"/>
    <w:next w:val="696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696"/>
    <w:next w:val="696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696"/>
    <w:next w:val="696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696"/>
    <w:next w:val="696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696"/>
    <w:next w:val="696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696"/>
    <w:next w:val="696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696"/>
    <w:next w:val="696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696"/>
    <w:next w:val="696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696"/>
    <w:next w:val="696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696"/>
    <w:next w:val="696"/>
    <w:uiPriority w:val="99"/>
    <w:unhideWhenUsed w:val="1"/>
    <w:pPr>
      <w:spacing w:after="0" w:afterAutospacing="0"/>
    </w:pPr>
  </w:style>
  <w:style w:type="paragraph" w:styleId="696" w:default="1">
    <w:name w:val="Normal"/>
    <w:qFormat w:val="1"/>
    <w:rPr>
      <w:rFonts w:ascii="Times New Roman" w:cs="Times New Roman" w:eastAsia="Times New Roman" w:hAnsi="Times New Roman"/>
      <w:lang w:eastAsia="ru-RU"/>
    </w:rPr>
  </w:style>
  <w:style w:type="character" w:styleId="697" w:default="1">
    <w:name w:val="Default Paragraph Font"/>
    <w:uiPriority w:val="1"/>
    <w:semiHidden w:val="1"/>
    <w:unhideWhenUsed w:val="1"/>
  </w:style>
  <w:style w:type="table" w:styleId="698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99" w:default="1">
    <w:name w:val="No List"/>
    <w:uiPriority w:val="99"/>
    <w:semiHidden w:val="1"/>
    <w:unhideWhenUsed w:val="1"/>
  </w:style>
  <w:style w:type="paragraph" w:styleId="700">
    <w:name w:val="List Paragraph"/>
    <w:basedOn w:val="696"/>
    <w:uiPriority w:val="34"/>
    <w:qFormat w:val="1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character" w:styleId="701">
    <w:name w:val="Hyperlink"/>
    <w:basedOn w:val="697"/>
    <w:uiPriority w:val="99"/>
    <w:unhideWhenUsed w:val="1"/>
    <w:rPr>
      <w:color w:val="0563c1" w:themeColor="hyperlink"/>
      <w:u w:val="single"/>
    </w:rPr>
  </w:style>
  <w:style w:type="character" w:styleId="702">
    <w:name w:val="Unresolved Mention"/>
    <w:basedOn w:val="697"/>
    <w:uiPriority w:val="99"/>
    <w:semiHidden w:val="1"/>
    <w:unhideWhenUsed w:val="1"/>
    <w:rPr>
      <w:color w:val="605e5c"/>
      <w:shd w:color="auto" w:fill="e1dfdd" w:val="clear"/>
    </w:rPr>
  </w:style>
  <w:style w:type="character" w:styleId="703">
    <w:name w:val="FollowedHyperlink"/>
    <w:basedOn w:val="697"/>
    <w:uiPriority w:val="99"/>
    <w:semiHidden w:val="1"/>
    <w:unhideWhenUsed w:val="1"/>
    <w:rPr>
      <w:color w:val="954f72" w:themeColor="followedHyperlink"/>
      <w:u w:val="single"/>
    </w:rPr>
  </w:style>
  <w:style w:type="paragraph" w:styleId="704">
    <w:name w:val="Revision"/>
    <w:hidden w:val="1"/>
    <w:uiPriority w:val="99"/>
    <w:semiHidden w:val="1"/>
    <w:rPr>
      <w:rFonts w:ascii="Times New Roman" w:cs="Times New Roman" w:eastAsia="Times New Roman" w:hAnsi="Times New Roman"/>
      <w:lang w:eastAsia="ru-RU"/>
    </w:rPr>
  </w:style>
  <w:style w:type="paragraph" w:styleId="705">
    <w:name w:val="Header"/>
    <w:basedOn w:val="696"/>
    <w:link w:val="706"/>
    <w:uiPriority w:val="99"/>
    <w:unhideWhenUsed w:val="1"/>
    <w:pPr>
      <w:tabs>
        <w:tab w:val="center" w:leader="none" w:pos="4677"/>
        <w:tab w:val="right" w:leader="none" w:pos="9355"/>
      </w:tabs>
    </w:pPr>
  </w:style>
  <w:style w:type="character" w:styleId="706" w:customStyle="1">
    <w:name w:val="Верхний колонтитул Знак"/>
    <w:basedOn w:val="697"/>
    <w:link w:val="705"/>
    <w:uiPriority w:val="99"/>
    <w:rPr>
      <w:rFonts w:ascii="Times New Roman" w:cs="Times New Roman" w:eastAsia="Times New Roman" w:hAnsi="Times New Roman"/>
      <w:lang w:eastAsia="ru-RU"/>
    </w:rPr>
  </w:style>
  <w:style w:type="paragraph" w:styleId="707">
    <w:name w:val="Footer"/>
    <w:basedOn w:val="696"/>
    <w:link w:val="708"/>
    <w:uiPriority w:val="99"/>
    <w:unhideWhenUsed w:val="1"/>
    <w:pPr>
      <w:tabs>
        <w:tab w:val="center" w:leader="none" w:pos="4677"/>
        <w:tab w:val="right" w:leader="none" w:pos="9355"/>
      </w:tabs>
    </w:pPr>
  </w:style>
  <w:style w:type="character" w:styleId="708" w:customStyle="1">
    <w:name w:val="Нижний колонтитул Знак"/>
    <w:basedOn w:val="697"/>
    <w:link w:val="707"/>
    <w:uiPriority w:val="99"/>
    <w:rPr>
      <w:rFonts w:ascii="Times New Roman" w:cs="Times New Roman" w:eastAsia="Times New Roman" w:hAnsi="Times New Roman"/>
      <w:lang w:eastAsia="ru-RU"/>
    </w:rPr>
  </w:style>
  <w:style w:type="character" w:styleId="709">
    <w:name w:val="page number"/>
    <w:basedOn w:val="697"/>
    <w:uiPriority w:val="99"/>
    <w:semiHidden w:val="1"/>
    <w:unhideWhenUsed w:val="1"/>
  </w:style>
  <w:style w:type="character" w:styleId="710">
    <w:name w:val="Emphasis"/>
    <w:basedOn w:val="697"/>
    <w:uiPriority w:val="20"/>
    <w:qFormat w:val="1"/>
    <w:rPr>
      <w:i w:val="1"/>
      <w:iCs w:val="1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help@rocketwork.ru" TargetMode="External"/><Relationship Id="rId10" Type="http://schemas.openxmlformats.org/officeDocument/2006/relationships/hyperlink" Target="https://app.rocketwork.ru/" TargetMode="Externa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lp.rocketwork.ru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help@rocketwork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4faT3YAOuaJANZkShyaic69WQ==">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2022-01-08T17:05:00Z</dcterms:created>
  <dc:creator>Microsoft Office User</dc:creator>
</cp:coreProperties>
</file>